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topLinePunct/>
        <w:adjustRightInd/>
        <w:snapToGrid w:val="0"/>
        <w:spacing w:line="560" w:lineRule="exact"/>
        <w:ind w:left="0" w:right="0"/>
        <w:jc w:val="left"/>
        <w:textAlignment w:val="auto"/>
        <w:rPr>
          <w:rFonts w:hint="eastAsia" w:eastAsia="仿宋" w:cs="Times New Roman"/>
          <w:sz w:val="32"/>
          <w:szCs w:val="32"/>
          <w:lang w:val="en-US" w:eastAsia="zh-CN" w:bidi="ar-SA"/>
        </w:rPr>
      </w:pPr>
      <w:r>
        <w:rPr>
          <w:rFonts w:hint="eastAsia" w:ascii="方正黑体_GBK" w:eastAsia="方正黑体_GBK" w:cs="方正黑体_GBK"/>
          <w:sz w:val="32"/>
          <w:szCs w:val="32"/>
          <w:lang w:eastAsia="zh-CN" w:bidi="ar-SA"/>
        </w:rPr>
        <w:t>附件</w:t>
      </w:r>
      <w:r>
        <w:rPr>
          <w:rFonts w:hint="eastAsia" w:eastAsia="仿宋" w:cs="Times New Roman"/>
          <w:sz w:val="32"/>
          <w:szCs w:val="32"/>
          <w:lang w:val="en-US" w:eastAsia="zh-CN" w:bidi="ar-SA"/>
        </w:rPr>
        <w:t>1</w:t>
      </w:r>
    </w:p>
    <w:p>
      <w:pPr>
        <w:widowControl w:val="0"/>
        <w:wordWrap/>
        <w:topLinePunct/>
        <w:adjustRightInd/>
        <w:snapToGrid w:val="0"/>
        <w:spacing w:line="560" w:lineRule="exact"/>
        <w:ind w:left="0" w:right="0" w:firstLine="880" w:firstLineChars="200"/>
        <w:jc w:val="center"/>
        <w:textAlignment w:val="auto"/>
        <w:rPr>
          <w:rFonts w:hint="eastAsia" w:ascii="方正小标宋简体" w:hAnsi="Times New Roman" w:eastAsia="方正小标宋简体" w:cs="方正小标宋简体"/>
          <w:sz w:val="44"/>
          <w:szCs w:val="44"/>
          <w:lang w:bidi="ar-SA"/>
        </w:rPr>
      </w:pPr>
      <w:bookmarkStart w:id="0" w:name="_GoBack"/>
      <w:r>
        <w:rPr>
          <w:rFonts w:hint="eastAsia" w:ascii="方正小标宋简体" w:hAnsi="Times New Roman" w:eastAsia="方正小标宋简体" w:cs="方正小标宋简体"/>
          <w:sz w:val="44"/>
          <w:szCs w:val="44"/>
          <w:lang w:bidi="ar-SA"/>
        </w:rPr>
        <w:t>广州市法学会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 w:bidi="ar-SA"/>
        </w:rPr>
        <w:t>2024</w:t>
      </w:r>
      <w:r>
        <w:rPr>
          <w:rFonts w:hint="eastAsia" w:ascii="方正小标宋简体" w:hAnsi="Times New Roman" w:eastAsia="方正小标宋简体" w:cs="方正小标宋简体"/>
          <w:sz w:val="44"/>
          <w:szCs w:val="44"/>
          <w:lang w:bidi="ar-SA"/>
        </w:rPr>
        <w:t>年</w:t>
      </w:r>
      <w:r>
        <w:rPr>
          <w:rFonts w:hint="eastAsia" w:ascii="方正小标宋简体" w:hAnsi="Times New Roman" w:eastAsia="方正小标宋简体" w:cs="方正小标宋简体"/>
          <w:sz w:val="44"/>
          <w:szCs w:val="44"/>
          <w:lang w:eastAsia="zh-CN" w:bidi="ar-SA"/>
        </w:rPr>
        <w:t>法学</w:t>
      </w:r>
      <w:r>
        <w:rPr>
          <w:rFonts w:hint="eastAsia" w:ascii="方正小标宋简体" w:hAnsi="Times New Roman" w:eastAsia="方正小标宋简体" w:cs="方正小标宋简体"/>
          <w:sz w:val="44"/>
          <w:szCs w:val="44"/>
          <w:lang w:bidi="ar-SA"/>
        </w:rPr>
        <w:t>研究课题指南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450"/>
        <w:gridCol w:w="2044"/>
        <w:gridCol w:w="5584"/>
        <w:gridCol w:w="1850"/>
        <w:gridCol w:w="195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eastAsia="黑体" w:cs="黑体"/>
                <w:color w:val="000000"/>
                <w:kern w:val="0"/>
                <w:sz w:val="28"/>
                <w:szCs w:val="32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32"/>
                <w:lang w:bidi="ar-SA"/>
              </w:rPr>
              <w:t>序号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eastAsia="黑体" w:cs="黑体"/>
                <w:color w:val="000000"/>
                <w:kern w:val="0"/>
                <w:sz w:val="28"/>
                <w:szCs w:val="32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32"/>
                <w:lang w:bidi="ar-SA"/>
              </w:rPr>
              <w:t>课题类别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eastAsia="黑体" w:cs="黑体"/>
                <w:color w:val="000000"/>
                <w:kern w:val="0"/>
                <w:sz w:val="28"/>
                <w:szCs w:val="32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32"/>
                <w:lang w:bidi="ar-SA"/>
              </w:rPr>
              <w:t>课题名称</w:t>
            </w:r>
          </w:p>
        </w:tc>
        <w:tc>
          <w:tcPr>
            <w:tcW w:w="55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eastAsia="黑体" w:cs="黑体"/>
                <w:color w:val="000000"/>
                <w:kern w:val="0"/>
                <w:sz w:val="28"/>
                <w:szCs w:val="32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32"/>
                <w:lang w:bidi="ar-SA"/>
              </w:rPr>
              <w:t>研究目的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eastAsia="黑体" w:cs="黑体"/>
                <w:color w:val="000000"/>
                <w:kern w:val="0"/>
                <w:sz w:val="28"/>
                <w:szCs w:val="32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32"/>
                <w:lang w:bidi="ar-SA"/>
              </w:rPr>
              <w:t>研究成果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eastAsia="黑体" w:cs="黑体"/>
                <w:color w:val="000000"/>
                <w:kern w:val="0"/>
                <w:sz w:val="28"/>
                <w:szCs w:val="32"/>
                <w:lang w:eastAsia="zh-CN"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32"/>
                <w:lang w:bidi="ar-SA"/>
              </w:rPr>
              <w:t>课题经费</w:t>
            </w: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32"/>
                <w:lang w:eastAsia="zh-CN" w:bidi="ar-SA"/>
              </w:rPr>
              <w:t>来源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eastAsia="黑体" w:cs="黑体"/>
                <w:color w:val="000000"/>
                <w:kern w:val="0"/>
                <w:sz w:val="28"/>
                <w:szCs w:val="32"/>
                <w:lang w:eastAsia="zh-CN"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32"/>
                <w:lang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8"/>
                <w:lang w:val="en-US" w:eastAsia="zh-CN" w:bidi="ar-SA"/>
              </w:rPr>
              <w:t>1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bidi="ar-SA"/>
              </w:rPr>
              <w:t>重点课题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三权分置机制下的数据产权法治保障路径研究</w:t>
            </w:r>
          </w:p>
          <w:p>
            <w:pPr>
              <w:widowControl/>
              <w:wordWrap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</w:p>
        </w:tc>
        <w:tc>
          <w:tcPr>
            <w:tcW w:w="55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outlineLvl w:val="9"/>
              <w:rPr>
                <w:rFonts w:hint="eastAsia" w:eastAsia="仿宋_GB2312" w:cs="Times New Roman"/>
                <w:sz w:val="24"/>
                <w:szCs w:val="24"/>
                <w:lang w:eastAsia="zh-CN" w:bidi="ar-SA"/>
              </w:rPr>
            </w:pPr>
            <w:r>
              <w:rPr>
                <w:rFonts w:hint="default" w:eastAsia="仿宋_GB2312" w:cs="Times New Roman"/>
                <w:color w:val="auto"/>
                <w:sz w:val="24"/>
                <w:szCs w:val="24"/>
                <w:highlight w:val="none"/>
                <w:lang w:val="en-US" w:eastAsia="zh-CN" w:bidi="ar-SA"/>
              </w:rPr>
              <w:t>2024年政府工作报告中提出要“健全数据基础制度，大力推动数据开发开放和流通使用”</w:t>
            </w:r>
            <w:r>
              <w:rPr>
                <w:rFonts w:hint="eastAsia" w:eastAsia="仿宋_GB2312" w:cs="Times New Roman"/>
                <w:sz w:val="24"/>
                <w:szCs w:val="24"/>
                <w:highlight w:val="none"/>
                <w:lang w:val="en-US" w:eastAsia="zh-CN" w:bidi="ar-SA"/>
              </w:rPr>
              <w:t>。当前，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要素市场化进程不断推进发展，但同时依然存在</w:t>
            </w:r>
            <w:r>
              <w:rPr>
                <w:rFonts w:hint="default" w:eastAsia="仿宋_GB2312" w:cs="Times New Roman"/>
                <w:sz w:val="24"/>
                <w:szCs w:val="24"/>
                <w:lang w:val="en-US" w:eastAsia="zh-CN" w:bidi="ar-SA"/>
              </w:rPr>
              <w:t>法律法规制度尚不健全，数据产权、流通交易、收益分配等保障制度不完善等问题。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课题拟对</w:t>
            </w:r>
            <w:r>
              <w:rPr>
                <w:rFonts w:hint="default" w:eastAsia="仿宋_GB2312" w:cs="Times New Roman"/>
                <w:sz w:val="24"/>
                <w:szCs w:val="24"/>
                <w:lang w:val="en-US" w:eastAsia="zh-CN" w:bidi="ar-SA"/>
              </w:rPr>
              <w:t>数据资源持有权、数据加工使用权、数据产品经营权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的界定开展研究，并以</w:t>
            </w:r>
            <w:r>
              <w:rPr>
                <w:rFonts w:hint="default" w:eastAsia="仿宋_GB2312" w:cs="Times New Roman"/>
                <w:sz w:val="24"/>
                <w:szCs w:val="24"/>
                <w:lang w:val="en-US" w:eastAsia="zh-CN" w:bidi="ar-SA"/>
              </w:rPr>
              <w:t>三权分置框架厘清数据要素确认问题，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以</w:t>
            </w:r>
            <w:r>
              <w:rPr>
                <w:rFonts w:hint="default" w:eastAsia="仿宋_GB2312" w:cs="Times New Roman"/>
                <w:sz w:val="24"/>
                <w:szCs w:val="24"/>
                <w:lang w:val="en-US" w:eastAsia="zh-CN" w:bidi="ar-SA"/>
              </w:rPr>
              <w:t>法治化路径保障广州打造成为全球数据要素市场核心枢纽、全球</w:t>
            </w:r>
            <w:r>
              <w:rPr>
                <w:rFonts w:hint="eastAsia" w:eastAsia="仿宋_GB2312" w:cs="Times New Roman"/>
                <w:sz w:val="24"/>
                <w:szCs w:val="24"/>
                <w:lang w:eastAsia="zh-CN" w:bidi="ar-SA"/>
              </w:rPr>
              <w:t>先进科技创新策源高地。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left"/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课题研究报告</w:t>
            </w:r>
            <w:r>
              <w:rPr>
                <w:rStyle w:val="4"/>
                <w:rFonts w:hint="eastAsia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及</w:t>
            </w:r>
          </w:p>
          <w:p>
            <w:pPr>
              <w:widowControl/>
              <w:spacing w:line="320" w:lineRule="exact"/>
              <w:ind w:firstLine="0"/>
              <w:jc w:val="left"/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</w:pPr>
            <w:r>
              <w:rPr>
                <w:rStyle w:val="4"/>
                <w:rFonts w:hint="eastAsia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2篇</w:t>
            </w:r>
            <w:r>
              <w:rPr>
                <w:rStyle w:val="4"/>
                <w:rFonts w:hint="eastAsia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要报</w:t>
            </w: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文章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left"/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委托单位拨付，</w:t>
            </w:r>
            <w:r>
              <w:rPr>
                <w:rStyle w:val="4"/>
                <w:rFonts w:hint="eastAsia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bidi="ar-SA"/>
              </w:rPr>
              <w:t>0万元</w:t>
            </w: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（含税）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left"/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left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8"/>
                <w:lang w:val="en-US" w:eastAsia="zh-CN" w:bidi="ar-SA"/>
              </w:rPr>
              <w:t>2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  <w:r>
              <w:rPr>
                <w:rStyle w:val="4"/>
                <w:rFonts w:hint="eastAsia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一般课题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智能网联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新能源汽车产业境外发展法律风险与防范</w:t>
            </w:r>
          </w:p>
          <w:p>
            <w:pPr>
              <w:widowControl/>
              <w:wordWrap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bidi="ar-SA"/>
              </w:rPr>
            </w:pPr>
          </w:p>
        </w:tc>
        <w:tc>
          <w:tcPr>
            <w:tcW w:w="5584" w:type="dxa"/>
            <w:noWrap w:val="0"/>
            <w:vAlign w:val="top"/>
          </w:tcPr>
          <w:p>
            <w:pPr>
              <w:widowControl/>
              <w:wordWrap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="仿宋_GB2312" w:cs="Times New Roman"/>
                <w:sz w:val="24"/>
                <w:szCs w:val="24"/>
                <w:lang w:val="en-US" w:eastAsia="zh-CN" w:bidi="ar-SA"/>
              </w:rPr>
              <w:t>智能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网联</w:t>
            </w:r>
            <w:r>
              <w:rPr>
                <w:rFonts w:hint="default" w:eastAsia="仿宋_GB2312" w:cs="Times New Roman"/>
                <w:sz w:val="24"/>
                <w:szCs w:val="24"/>
                <w:lang w:val="en-US" w:eastAsia="zh-CN" w:bidi="ar-SA"/>
              </w:rPr>
              <w:t>新能源汽车是广州的新兴三大支柱产业之一，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其</w:t>
            </w:r>
            <w:r>
              <w:rPr>
                <w:rFonts w:hint="default" w:eastAsia="仿宋_GB2312" w:cs="Times New Roman"/>
                <w:sz w:val="24"/>
                <w:szCs w:val="24"/>
                <w:lang w:val="en-US" w:eastAsia="zh-CN" w:bidi="ar-SA"/>
              </w:rPr>
              <w:t>产业链不仅覆盖汽车制造业（制造与零配件）本身，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还</w:t>
            </w:r>
            <w:r>
              <w:rPr>
                <w:rFonts w:hint="default" w:eastAsia="仿宋_GB2312" w:cs="Times New Roman"/>
                <w:sz w:val="24"/>
                <w:szCs w:val="24"/>
                <w:lang w:val="en-US" w:eastAsia="zh-CN" w:bidi="ar-SA"/>
              </w:rPr>
              <w:t>涉及电池（稀有矿产资源、科技研发）、智能生态（智能驾驶利用大模型数据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、</w:t>
            </w:r>
            <w:r>
              <w:rPr>
                <w:rFonts w:hint="default" w:eastAsia="仿宋_GB2312" w:cs="Times New Roman"/>
                <w:sz w:val="24"/>
                <w:szCs w:val="24"/>
                <w:lang w:val="en-US" w:eastAsia="zh-CN" w:bidi="ar-SA"/>
              </w:rPr>
              <w:t>驾驶人员的生态用户数据）、储能（新能源）等多类别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，对经济、就业等具有强大的拉动力。课题拟对新能源汽车产业境外发展的各类法律风险开展研究，并提出</w:t>
            </w:r>
            <w:r>
              <w:rPr>
                <w:rFonts w:hint="default" w:eastAsia="仿宋_GB2312" w:cs="Times New Roman"/>
                <w:sz w:val="24"/>
                <w:szCs w:val="24"/>
                <w:lang w:val="en-US" w:eastAsia="zh-CN" w:bidi="ar-SA"/>
              </w:rPr>
              <w:t>防范与应对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策略，助力</w:t>
            </w:r>
            <w:r>
              <w:rPr>
                <w:rFonts w:hint="eastAsia" w:eastAsia="仿宋_GB2312" w:cs="Times New Roman"/>
                <w:sz w:val="24"/>
                <w:lang w:bidi="ar-SA"/>
              </w:rPr>
              <w:t>巩固扩大</w:t>
            </w:r>
            <w:r>
              <w:rPr>
                <w:rFonts w:hint="eastAsia" w:eastAsia="仿宋_GB2312" w:cs="Times New Roman"/>
                <w:sz w:val="24"/>
                <w:lang w:eastAsia="zh-CN" w:bidi="ar-SA"/>
              </w:rPr>
              <w:t>广州市</w:t>
            </w:r>
            <w:r>
              <w:rPr>
                <w:rFonts w:hint="eastAsia" w:eastAsia="仿宋_GB2312" w:cs="Times New Roman"/>
                <w:sz w:val="24"/>
                <w:lang w:bidi="ar-SA"/>
              </w:rPr>
              <w:t>智能网联新能源汽车等产业领先优势</w:t>
            </w:r>
            <w:r>
              <w:rPr>
                <w:rFonts w:hint="eastAsia" w:eastAsia="仿宋_GB2312" w:cs="Times New Roman"/>
                <w:sz w:val="24"/>
                <w:lang w:eastAsia="zh-CN" w:bidi="ar-SA"/>
              </w:rPr>
              <w:t>。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left"/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bidi="ar-SA"/>
              </w:rPr>
            </w:pPr>
          </w:p>
          <w:p>
            <w:pPr>
              <w:widowControl/>
              <w:spacing w:line="320" w:lineRule="exact"/>
              <w:ind w:firstLine="0"/>
              <w:jc w:val="left"/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课题研究报告</w:t>
            </w:r>
            <w:r>
              <w:rPr>
                <w:rStyle w:val="4"/>
                <w:rFonts w:hint="eastAsia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及</w:t>
            </w:r>
          </w:p>
          <w:p>
            <w:pPr>
              <w:widowControl/>
              <w:spacing w:line="320" w:lineRule="exact"/>
              <w:ind w:firstLine="0"/>
              <w:jc w:val="left"/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Style w:val="4"/>
                <w:rFonts w:hint="eastAsia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1篇</w:t>
            </w:r>
            <w:r>
              <w:rPr>
                <w:rStyle w:val="4"/>
                <w:rFonts w:hint="eastAsia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要报</w:t>
            </w: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文章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left"/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委托单位拨付，</w:t>
            </w:r>
            <w:r>
              <w:rPr>
                <w:rStyle w:val="4"/>
                <w:rFonts w:hint="eastAsia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5</w:t>
            </w: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bidi="ar-SA"/>
              </w:rPr>
              <w:t>万元</w:t>
            </w: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（含税）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left"/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left="0" w:firstLine="0" w:firstLineChars="0"/>
              <w:jc w:val="center"/>
              <w:rPr>
                <w:rStyle w:val="4"/>
                <w:rFonts w:hint="default" w:ascii="Times New Roman" w:hAnsi="Times New Roman" w:eastAsia="仿宋_GB2312" w:cs="Times New Roman"/>
                <w:b w:val="0"/>
                <w:szCs w:val="24"/>
                <w:shd w:val="clear" w:color="auto" w:fill="FFFFFF"/>
                <w:lang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szCs w:val="24"/>
                <w:shd w:val="clear" w:color="auto" w:fill="FFFFFF"/>
                <w:lang w:val="en-US" w:eastAsia="zh-CN" w:bidi="ar-SA"/>
              </w:rPr>
              <w:t>3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hd w:val="clear" w:color="auto" w:fill="FFFFFF"/>
                <w:lang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一般课题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both"/>
              <w:textAlignment w:val="auto"/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粤港澳大湾区企业合规制度比较研究</w:t>
            </w:r>
          </w:p>
        </w:tc>
        <w:tc>
          <w:tcPr>
            <w:tcW w:w="55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广东作为全国首批涉案企业合规改革试点地区，</w:t>
            </w:r>
            <w:r>
              <w:rPr>
                <w:rFonts w:hint="default" w:eastAsia="仿宋_GB2312" w:cs="Times New Roman"/>
                <w:sz w:val="24"/>
                <w:szCs w:val="24"/>
                <w:lang w:val="en-US" w:eastAsia="zh-CN" w:bidi="ar-SA"/>
              </w:rPr>
              <w:t>企业合规实践走在全国前列，有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许</w:t>
            </w:r>
            <w:r>
              <w:rPr>
                <w:rFonts w:hint="default" w:eastAsia="仿宋_GB2312" w:cs="Times New Roman"/>
                <w:sz w:val="24"/>
                <w:szCs w:val="24"/>
                <w:lang w:val="en-US" w:eastAsia="zh-CN" w:bidi="ar-SA"/>
              </w:rPr>
              <w:t>多经验需要总结，同时也面临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许</w:t>
            </w:r>
            <w:r>
              <w:rPr>
                <w:rFonts w:hint="default" w:eastAsia="仿宋_GB2312" w:cs="Times New Roman"/>
                <w:sz w:val="24"/>
                <w:szCs w:val="24"/>
                <w:lang w:val="en-US" w:eastAsia="zh-CN" w:bidi="ar-SA"/>
              </w:rPr>
              <w:t>多的问题需要处理。香港、澳门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两地</w:t>
            </w:r>
            <w:r>
              <w:rPr>
                <w:rFonts w:hint="default" w:eastAsia="仿宋_GB2312" w:cs="Times New Roman"/>
                <w:sz w:val="24"/>
                <w:szCs w:val="24"/>
                <w:lang w:val="en-US" w:eastAsia="zh-CN" w:bidi="ar-SA"/>
              </w:rPr>
              <w:t>企业遵守不同法域下的不同治理模式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。课题拟</w:t>
            </w:r>
            <w:r>
              <w:rPr>
                <w:rFonts w:hint="default" w:eastAsia="仿宋_GB2312" w:cs="Times New Roman"/>
                <w:sz w:val="24"/>
                <w:szCs w:val="24"/>
                <w:lang w:val="en-US" w:eastAsia="zh-CN" w:bidi="ar-SA"/>
              </w:rPr>
              <w:t>对三地企业合规问题进行比较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研究</w:t>
            </w:r>
            <w:r>
              <w:rPr>
                <w:rFonts w:hint="default" w:eastAsia="仿宋_GB2312" w:cs="Times New Roman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对</w:t>
            </w:r>
            <w:r>
              <w:rPr>
                <w:rFonts w:hint="default" w:eastAsia="仿宋_GB2312" w:cs="Times New Roman"/>
                <w:sz w:val="24"/>
                <w:szCs w:val="24"/>
                <w:lang w:val="en-US" w:eastAsia="zh-CN" w:bidi="ar-SA"/>
              </w:rPr>
              <w:t>制定大湾区企业共同遵守合规制度的可能性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开展</w:t>
            </w:r>
            <w:r>
              <w:rPr>
                <w:rFonts w:hint="default" w:eastAsia="仿宋_GB2312" w:cs="Times New Roman"/>
                <w:sz w:val="24"/>
                <w:szCs w:val="24"/>
                <w:lang w:val="en-US" w:eastAsia="zh-CN" w:bidi="ar-SA"/>
              </w:rPr>
              <w:t>探讨，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以</w:t>
            </w:r>
            <w:r>
              <w:rPr>
                <w:rFonts w:hint="default" w:eastAsia="仿宋_GB2312" w:cs="Times New Roman"/>
                <w:sz w:val="24"/>
                <w:szCs w:val="24"/>
                <w:lang w:val="en-US" w:eastAsia="zh-CN" w:bidi="ar-SA"/>
              </w:rPr>
              <w:t>利于三地在实施企业合规措施时相互借鉴，进一步完善企业合规制度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，</w:t>
            </w:r>
            <w:r>
              <w:rPr>
                <w:rFonts w:hint="default" w:eastAsia="仿宋_GB2312" w:cs="Times New Roman"/>
                <w:sz w:val="24"/>
                <w:szCs w:val="24"/>
                <w:lang w:val="en-US" w:eastAsia="zh-CN" w:bidi="ar-SA"/>
              </w:rPr>
              <w:t>推进粤港澳大湾区三地企业的交流和合作，保障大湾区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企业平稳发展。</w:t>
            </w:r>
          </w:p>
          <w:p>
            <w:pPr>
              <w:widowControl/>
              <w:wordWrap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left"/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课题研究报告</w:t>
            </w:r>
            <w:r>
              <w:rPr>
                <w:rStyle w:val="4"/>
                <w:rFonts w:hint="eastAsia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及</w:t>
            </w:r>
          </w:p>
          <w:p>
            <w:pPr>
              <w:widowControl/>
              <w:spacing w:line="320" w:lineRule="exact"/>
              <w:ind w:firstLine="0"/>
              <w:jc w:val="left"/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Style w:val="4"/>
                <w:rFonts w:hint="eastAsia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1篇</w:t>
            </w:r>
            <w:r>
              <w:rPr>
                <w:rStyle w:val="4"/>
                <w:rFonts w:hint="eastAsia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要报</w:t>
            </w: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文章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left"/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委托单位拨付，</w:t>
            </w:r>
            <w:r>
              <w:rPr>
                <w:rStyle w:val="4"/>
                <w:rFonts w:hint="eastAsia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5</w:t>
            </w: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bidi="ar-SA"/>
              </w:rPr>
              <w:t>万元</w:t>
            </w: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（含税）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left"/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jc w:val="center"/>
        </w:trPr>
        <w:tc>
          <w:tcPr>
            <w:tcW w:w="869" w:type="dxa"/>
            <w:noWrap w:val="0"/>
            <w:vAlign w:val="center"/>
          </w:tcPr>
          <w:p>
            <w:pPr>
              <w:pStyle w:val="5"/>
              <w:widowControl/>
              <w:spacing w:line="300" w:lineRule="exact"/>
              <w:ind w:left="0" w:firstLine="0" w:firstLineChars="0"/>
              <w:jc w:val="center"/>
              <w:rPr>
                <w:rStyle w:val="4"/>
                <w:rFonts w:hint="default" w:ascii="Times New Roman" w:hAnsi="Times New Roman" w:eastAsia="仿宋_GB2312" w:cs="Times New Roman"/>
                <w:b w:val="0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Style w:val="4"/>
                <w:rFonts w:hint="eastAsia" w:eastAsia="仿宋_GB2312" w:cs="Times New Roman"/>
                <w:b w:val="0"/>
                <w:szCs w:val="24"/>
                <w:shd w:val="clear" w:color="auto" w:fill="FFFFFF"/>
                <w:lang w:val="en-US" w:eastAsia="zh-CN" w:bidi="ar-SA"/>
              </w:rPr>
              <w:t>4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Style w:val="4"/>
                <w:rFonts w:hint="eastAsia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</w:pPr>
            <w:r>
              <w:rPr>
                <w:rStyle w:val="4"/>
                <w:rFonts w:hint="eastAsia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青年调研</w:t>
            </w:r>
          </w:p>
          <w:p>
            <w:pPr>
              <w:jc w:val="center"/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</w:pPr>
            <w:r>
              <w:rPr>
                <w:rStyle w:val="4"/>
                <w:rFonts w:hint="eastAsia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项目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预防未成年人涉黑涉恶犯罪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  <w:t>研究</w:t>
            </w:r>
          </w:p>
          <w:p>
            <w:pPr>
              <w:widowControl/>
              <w:wordWrap/>
              <w:adjustRightInd/>
              <w:snapToGrid/>
              <w:spacing w:line="320" w:lineRule="exact"/>
              <w:jc w:val="both"/>
              <w:textAlignment w:val="auto"/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55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both"/>
              <w:textAlignment w:val="auto"/>
              <w:outlineLvl w:val="9"/>
              <w:rPr>
                <w:rFonts w:hint="default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="仿宋_GB2312" w:cs="Times New Roman"/>
                <w:sz w:val="24"/>
                <w:szCs w:val="24"/>
                <w:lang w:val="en-US" w:eastAsia="zh-CN" w:bidi="ar-SA"/>
              </w:rPr>
              <w:t>黑恶势力犯罪分子利用未成年人自我保护能力弱、辨别能力低、易于控制等特点，将未成年人作为黑恶组织发展的“生力军”，有意拉拢、引诱、欺骗未成年人加入黑恶势力，实施涉黑恶违法犯罪活动，严重败坏社会风气和社会价值观，严重侵害了未成年人的身心健康，危害社会和谐稳定，亟需引起重视。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课题拟开展预防未成年人涉黑涉恶犯罪研究，为保护未成年人健康成长、落实常态化开展扫黑除恶斗争工作提供助力。</w:t>
            </w:r>
          </w:p>
          <w:p>
            <w:pPr>
              <w:widowControl/>
              <w:wordWrap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left"/>
              <w:rPr>
                <w:rStyle w:val="4"/>
                <w:rFonts w:hint="eastAsia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课题研究报告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/>
              <w:spacing w:line="320" w:lineRule="exact"/>
              <w:ind w:firstLine="0"/>
              <w:jc w:val="left"/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</w:pP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委托单位拨付，</w:t>
            </w:r>
            <w:r>
              <w:rPr>
                <w:rStyle w:val="4"/>
                <w:rFonts w:hint="eastAsia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1</w:t>
            </w: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bidi="ar-SA"/>
              </w:rPr>
              <w:t>万元</w:t>
            </w:r>
            <w:r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  <w:t>（含税）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widowControl w:val="0"/>
              <w:wordWrap/>
              <w:topLinePunct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="仿宋_GB2312" w:cs="Times New Roman"/>
                <w:sz w:val="24"/>
                <w:szCs w:val="24"/>
                <w:lang w:val="en-US" w:eastAsia="zh-CN" w:bidi="ar-SA"/>
              </w:rPr>
              <w:t>市委政法委扫黑除恶综合处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 w:bidi="ar-SA"/>
              </w:rPr>
              <w:t>共同参与项目研究</w:t>
            </w:r>
          </w:p>
          <w:p>
            <w:pPr>
              <w:widowControl/>
              <w:spacing w:line="320" w:lineRule="exact"/>
              <w:ind w:firstLine="0"/>
              <w:jc w:val="left"/>
              <w:rPr>
                <w:rStyle w:val="4"/>
                <w:rFonts w:hint="default" w:ascii="Times New Roman" w:hAnsi="Times New Roman" w:eastAsia="仿宋_GB2312" w:cs="Times New Roman"/>
                <w:b w:val="0"/>
                <w:color w:val="000000"/>
                <w:kern w:val="0"/>
                <w:sz w:val="24"/>
                <w:szCs w:val="24"/>
                <w:shd w:val="clear" w:color="auto" w:fill="FFFFFF"/>
                <w:lang w:eastAsia="zh-CN" w:bidi="ar-SA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F1AC70-0031-4B74-94C0-BA21F730C21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C0EE3FA2-0EB1-4AA2-A9F6-482BE3A148F6}"/>
  </w:font>
  <w:font w:name="Droid S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ABF324F7-8EFD-418C-BB5D-2208365FC3D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D8D8062-CC91-44D1-887B-A039F38EE5C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0OTg5ZGRiNDUyZjFiZDY0NmYyNjE5MjU4ZGI3YzEifQ=="/>
  </w:docVars>
  <w:rsids>
    <w:rsidRoot w:val="0CB30DA8"/>
    <w:rsid w:val="0CB3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uiPriority w:val="0"/>
    <w:rPr>
      <w:b/>
    </w:rPr>
  </w:style>
  <w:style w:type="paragraph" w:customStyle="1" w:styleId="5">
    <w:name w:val="List Paragraph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2024-04-02T06:27:00Z</dcterms:created>
  <dc:creator>谌心禅</dc:creator>
  <cp:lastModifiedBy>谌心禅</cp:lastModifiedBy>
  <dcterms:modified xsi:type="dcterms:W3CDTF">2024-04-02T06:27:53Z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946929A49E1C426CA55B27D0D554EDB2_11</vt:lpwstr>
  </property>
</Properties>
</file>